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C38" w:rsidRDefault="003666F9" w:rsidP="00D6589B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Cs/>
          <w:spacing w:val="-3"/>
          <w:sz w:val="22"/>
          <w:szCs w:val="22"/>
        </w:rPr>
        <w:t>T</w:t>
      </w:r>
      <w:r w:rsidR="0009364B">
        <w:rPr>
          <w:rFonts w:ascii="Arial" w:hAnsi="Arial" w:cs="Arial"/>
          <w:bCs/>
          <w:spacing w:val="-3"/>
          <w:sz w:val="22"/>
          <w:szCs w:val="22"/>
        </w:rPr>
        <w:t>he</w:t>
      </w:r>
      <w:r w:rsidR="0005481E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974CEE">
        <w:rPr>
          <w:rFonts w:ascii="Arial" w:hAnsi="Arial" w:cs="Arial"/>
          <w:bCs/>
          <w:spacing w:val="-3"/>
          <w:sz w:val="22"/>
          <w:szCs w:val="22"/>
        </w:rPr>
        <w:t>Education (Overseas Student) Bill 2017</w:t>
      </w:r>
      <w:r w:rsidR="0096227C">
        <w:rPr>
          <w:rFonts w:ascii="Arial" w:hAnsi="Arial" w:cs="Arial"/>
          <w:bCs/>
          <w:spacing w:val="-3"/>
          <w:sz w:val="22"/>
          <w:szCs w:val="22"/>
        </w:rPr>
        <w:t>:</w:t>
      </w:r>
    </w:p>
    <w:p w:rsidR="00F6728C" w:rsidRPr="00F6728C" w:rsidRDefault="00F6728C" w:rsidP="00171231">
      <w:pPr>
        <w:numPr>
          <w:ilvl w:val="1"/>
          <w:numId w:val="1"/>
        </w:numPr>
        <w:tabs>
          <w:tab w:val="clear" w:pos="1443"/>
          <w:tab w:val="num" w:pos="851"/>
        </w:tabs>
        <w:spacing w:before="120"/>
        <w:ind w:left="850" w:hanging="425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r</w:t>
      </w:r>
      <w:r w:rsidRPr="00F6728C">
        <w:rPr>
          <w:rFonts w:ascii="Arial" w:hAnsi="Arial" w:cs="Arial"/>
          <w:bCs/>
          <w:spacing w:val="-3"/>
          <w:sz w:val="22"/>
          <w:szCs w:val="22"/>
        </w:rPr>
        <w:t xml:space="preserve">epeals the </w:t>
      </w:r>
      <w:r w:rsidRPr="00F6728C">
        <w:rPr>
          <w:rFonts w:ascii="Arial" w:hAnsi="Arial" w:cs="Arial"/>
          <w:i/>
          <w:sz w:val="22"/>
          <w:szCs w:val="22"/>
        </w:rPr>
        <w:t xml:space="preserve">Education (Overseas Students) Act 1996 </w:t>
      </w:r>
      <w:r w:rsidRPr="00F6728C">
        <w:rPr>
          <w:rFonts w:ascii="Arial" w:hAnsi="Arial" w:cs="Arial"/>
          <w:sz w:val="22"/>
          <w:szCs w:val="22"/>
        </w:rPr>
        <w:t xml:space="preserve">and </w:t>
      </w:r>
      <w:r w:rsidR="00AD50EF">
        <w:rPr>
          <w:rFonts w:ascii="Arial" w:hAnsi="Arial" w:cs="Arial"/>
          <w:sz w:val="22"/>
          <w:szCs w:val="22"/>
        </w:rPr>
        <w:t>provides for</w:t>
      </w:r>
      <w:r w:rsidRPr="00F6728C">
        <w:rPr>
          <w:rFonts w:ascii="Arial" w:hAnsi="Arial" w:cs="Arial"/>
          <w:sz w:val="22"/>
          <w:szCs w:val="22"/>
        </w:rPr>
        <w:t xml:space="preserve"> new legislation to regulate providers of courses to overseas students</w:t>
      </w:r>
      <w:r w:rsidR="00AD50EF">
        <w:rPr>
          <w:rFonts w:ascii="Arial" w:hAnsi="Arial" w:cs="Arial"/>
          <w:sz w:val="22"/>
          <w:szCs w:val="22"/>
        </w:rPr>
        <w:t>,</w:t>
      </w:r>
      <w:r w:rsidRPr="00F6728C">
        <w:rPr>
          <w:rFonts w:ascii="Arial" w:hAnsi="Arial" w:cs="Arial"/>
          <w:sz w:val="22"/>
          <w:szCs w:val="22"/>
        </w:rPr>
        <w:t xml:space="preserve"> which better aligns with Queensland’s responsibilities under the cooperative model of shared responsibility between the Australian and Queensland government; </w:t>
      </w:r>
    </w:p>
    <w:p w:rsidR="00F6728C" w:rsidRDefault="00F6728C" w:rsidP="00171231">
      <w:pPr>
        <w:numPr>
          <w:ilvl w:val="1"/>
          <w:numId w:val="1"/>
        </w:numPr>
        <w:tabs>
          <w:tab w:val="clear" w:pos="1443"/>
          <w:tab w:val="num" w:pos="851"/>
        </w:tabs>
        <w:spacing w:before="120"/>
        <w:ind w:left="850" w:hanging="425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 xml:space="preserve">provides a new legislative framework for the regulation of providers of international student exchange programs; </w:t>
      </w:r>
    </w:p>
    <w:p w:rsidR="00F6728C" w:rsidRDefault="00F6728C" w:rsidP="00171231">
      <w:pPr>
        <w:numPr>
          <w:ilvl w:val="1"/>
          <w:numId w:val="1"/>
        </w:numPr>
        <w:tabs>
          <w:tab w:val="clear" w:pos="1443"/>
          <w:tab w:val="num" w:pos="851"/>
        </w:tabs>
        <w:spacing w:before="120"/>
        <w:ind w:left="850" w:hanging="425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 xml:space="preserve">amends the </w:t>
      </w:r>
      <w:r w:rsidRPr="00F6728C">
        <w:rPr>
          <w:rFonts w:ascii="Arial" w:hAnsi="Arial" w:cs="Arial"/>
          <w:bCs/>
          <w:i/>
          <w:spacing w:val="-3"/>
          <w:sz w:val="22"/>
          <w:szCs w:val="22"/>
        </w:rPr>
        <w:t>Education (Queensland Curriculum and Assessment Authority) Act 2014</w:t>
      </w:r>
      <w:r w:rsidRPr="00F6728C">
        <w:rPr>
          <w:rFonts w:ascii="Arial" w:hAnsi="Arial" w:cs="Arial"/>
          <w:bCs/>
          <w:spacing w:val="-3"/>
          <w:sz w:val="22"/>
          <w:szCs w:val="22"/>
        </w:rPr>
        <w:t xml:space="preserve">  </w:t>
      </w:r>
      <w:r>
        <w:rPr>
          <w:rFonts w:ascii="Arial" w:hAnsi="Arial" w:cs="Arial"/>
          <w:bCs/>
          <w:spacing w:val="-3"/>
          <w:sz w:val="22"/>
          <w:szCs w:val="22"/>
        </w:rPr>
        <w:t xml:space="preserve">to ensure that the </w:t>
      </w:r>
      <w:r w:rsidRPr="00F6728C">
        <w:rPr>
          <w:rFonts w:ascii="Arial" w:hAnsi="Arial" w:cs="Arial"/>
          <w:bCs/>
          <w:spacing w:val="-3"/>
          <w:sz w:val="22"/>
          <w:szCs w:val="22"/>
        </w:rPr>
        <w:t>Queensland Curriculum and Assessment Author</w:t>
      </w:r>
      <w:r w:rsidR="00AD50EF">
        <w:rPr>
          <w:rFonts w:ascii="Arial" w:hAnsi="Arial" w:cs="Arial"/>
          <w:bCs/>
          <w:spacing w:val="-3"/>
          <w:sz w:val="22"/>
          <w:szCs w:val="22"/>
        </w:rPr>
        <w:t xml:space="preserve">ity </w:t>
      </w:r>
      <w:r w:rsidRPr="00F6728C">
        <w:rPr>
          <w:rFonts w:ascii="Arial" w:hAnsi="Arial" w:cs="Arial"/>
          <w:bCs/>
          <w:spacing w:val="-3"/>
          <w:sz w:val="22"/>
          <w:szCs w:val="22"/>
        </w:rPr>
        <w:t xml:space="preserve">has the adequate functions to administer the new </w:t>
      </w:r>
      <w:r w:rsidR="00AD50EF" w:rsidRPr="00F6728C">
        <w:rPr>
          <w:rFonts w:ascii="Arial" w:hAnsi="Arial" w:cs="Arial"/>
          <w:bCs/>
          <w:spacing w:val="-3"/>
          <w:sz w:val="22"/>
          <w:szCs w:val="22"/>
        </w:rPr>
        <w:t>senior assessment and tertiary entrance systems</w:t>
      </w:r>
      <w:r w:rsidR="00AD50EF">
        <w:rPr>
          <w:rFonts w:ascii="Arial" w:hAnsi="Arial" w:cs="Arial"/>
          <w:bCs/>
          <w:spacing w:val="-3"/>
          <w:sz w:val="22"/>
          <w:szCs w:val="22"/>
        </w:rPr>
        <w:t xml:space="preserve"> from January 2019</w:t>
      </w:r>
      <w:r>
        <w:rPr>
          <w:rFonts w:ascii="Arial" w:hAnsi="Arial" w:cs="Arial"/>
          <w:bCs/>
          <w:spacing w:val="-3"/>
          <w:sz w:val="22"/>
          <w:szCs w:val="22"/>
        </w:rPr>
        <w:t xml:space="preserve">; and </w:t>
      </w:r>
    </w:p>
    <w:p w:rsidR="00F6728C" w:rsidRPr="00AD50EF" w:rsidRDefault="00F6728C" w:rsidP="00AD50EF">
      <w:pPr>
        <w:numPr>
          <w:ilvl w:val="1"/>
          <w:numId w:val="1"/>
        </w:numPr>
        <w:tabs>
          <w:tab w:val="clear" w:pos="1443"/>
          <w:tab w:val="num" w:pos="851"/>
        </w:tabs>
        <w:spacing w:before="120"/>
        <w:ind w:left="850" w:hanging="425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AD50EF">
        <w:rPr>
          <w:rFonts w:ascii="Arial" w:hAnsi="Arial" w:cs="Arial"/>
          <w:bCs/>
          <w:spacing w:val="-3"/>
          <w:sz w:val="22"/>
          <w:szCs w:val="22"/>
        </w:rPr>
        <w:t xml:space="preserve">makes a number of </w:t>
      </w:r>
      <w:r w:rsidR="00AD50EF" w:rsidRPr="00AD50EF">
        <w:rPr>
          <w:rFonts w:ascii="Arial" w:hAnsi="Arial" w:cs="Arial"/>
          <w:bCs/>
          <w:spacing w:val="-3"/>
          <w:sz w:val="22"/>
          <w:szCs w:val="22"/>
        </w:rPr>
        <w:t xml:space="preserve">minor and technical </w:t>
      </w:r>
      <w:r w:rsidRPr="00AD50EF">
        <w:rPr>
          <w:rFonts w:ascii="Arial" w:hAnsi="Arial" w:cs="Arial"/>
          <w:bCs/>
          <w:spacing w:val="-3"/>
          <w:sz w:val="22"/>
          <w:szCs w:val="22"/>
        </w:rPr>
        <w:t xml:space="preserve">amendments relating to the </w:t>
      </w:r>
      <w:r w:rsidR="00AD50EF" w:rsidRPr="00AD50EF">
        <w:rPr>
          <w:rFonts w:ascii="Arial" w:hAnsi="Arial" w:cs="Arial"/>
          <w:bCs/>
          <w:i/>
          <w:spacing w:val="-3"/>
          <w:sz w:val="22"/>
          <w:szCs w:val="22"/>
        </w:rPr>
        <w:t>Education (General Provision) Act 2006</w:t>
      </w:r>
      <w:r w:rsidR="00AD50EF" w:rsidRPr="00AD50EF">
        <w:rPr>
          <w:rFonts w:ascii="Arial" w:hAnsi="Arial" w:cs="Arial"/>
          <w:bCs/>
          <w:spacing w:val="-3"/>
          <w:sz w:val="22"/>
          <w:szCs w:val="22"/>
        </w:rPr>
        <w:t xml:space="preserve"> and the </w:t>
      </w:r>
      <w:r w:rsidR="00AD50EF" w:rsidRPr="00AD50EF">
        <w:rPr>
          <w:rFonts w:ascii="Arial" w:hAnsi="Arial" w:cs="Arial"/>
          <w:bCs/>
          <w:i/>
          <w:spacing w:val="-3"/>
          <w:sz w:val="22"/>
          <w:szCs w:val="22"/>
        </w:rPr>
        <w:t>Working with Children (Risk Management and Screening) Act 2000</w:t>
      </w:r>
      <w:r w:rsidRPr="00AD50EF">
        <w:rPr>
          <w:rFonts w:ascii="Arial" w:hAnsi="Arial" w:cs="Arial"/>
          <w:bCs/>
          <w:spacing w:val="-3"/>
          <w:sz w:val="22"/>
          <w:szCs w:val="22"/>
        </w:rPr>
        <w:t xml:space="preserve">. </w:t>
      </w:r>
    </w:p>
    <w:p w:rsidR="0009364B" w:rsidRPr="0009364B" w:rsidRDefault="00E61984" w:rsidP="0009364B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09364B">
        <w:rPr>
          <w:rFonts w:ascii="Arial" w:hAnsi="Arial" w:cs="Arial"/>
          <w:bCs/>
          <w:spacing w:val="-3"/>
          <w:sz w:val="22"/>
          <w:szCs w:val="22"/>
          <w:u w:val="single"/>
        </w:rPr>
        <w:t>Cabinet approved</w:t>
      </w:r>
      <w:r w:rsidR="0009364B" w:rsidRPr="0009364B">
        <w:rPr>
          <w:rFonts w:ascii="Arial" w:hAnsi="Arial" w:cs="Arial"/>
          <w:bCs/>
          <w:spacing w:val="-3"/>
          <w:sz w:val="22"/>
          <w:szCs w:val="22"/>
        </w:rPr>
        <w:t xml:space="preserve"> that the </w:t>
      </w:r>
      <w:r w:rsidR="00900039">
        <w:rPr>
          <w:rFonts w:ascii="Arial" w:hAnsi="Arial" w:cs="Arial"/>
          <w:bCs/>
          <w:spacing w:val="-3"/>
          <w:sz w:val="22"/>
          <w:szCs w:val="22"/>
        </w:rPr>
        <w:t xml:space="preserve">Education (Overseas Students) Bill 2017 </w:t>
      </w:r>
      <w:r w:rsidR="0009364B" w:rsidRPr="0009364B">
        <w:rPr>
          <w:rFonts w:ascii="Arial" w:hAnsi="Arial" w:cs="Arial"/>
          <w:bCs/>
          <w:spacing w:val="-3"/>
          <w:sz w:val="22"/>
          <w:szCs w:val="22"/>
        </w:rPr>
        <w:t>be introduced into the Legislative Assembly.</w:t>
      </w:r>
    </w:p>
    <w:p w:rsidR="00E61984" w:rsidRPr="002C500E" w:rsidRDefault="00E61984" w:rsidP="002C500E">
      <w:pPr>
        <w:numPr>
          <w:ilvl w:val="0"/>
          <w:numId w:val="1"/>
        </w:numPr>
        <w:tabs>
          <w:tab w:val="clear" w:pos="720"/>
          <w:tab w:val="num" w:pos="360"/>
        </w:tabs>
        <w:spacing w:before="36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2C500E">
        <w:rPr>
          <w:rFonts w:ascii="Arial" w:hAnsi="Arial" w:cs="Arial"/>
          <w:bCs/>
          <w:i/>
          <w:spacing w:val="-3"/>
          <w:sz w:val="22"/>
          <w:szCs w:val="22"/>
          <w:u w:val="single"/>
        </w:rPr>
        <w:t>Attachments</w:t>
      </w:r>
    </w:p>
    <w:p w:rsidR="00E61984" w:rsidRPr="0009364B" w:rsidRDefault="00370A79" w:rsidP="002C500E">
      <w:pPr>
        <w:numPr>
          <w:ilvl w:val="0"/>
          <w:numId w:val="4"/>
        </w:numPr>
        <w:spacing w:before="120"/>
        <w:jc w:val="both"/>
        <w:rPr>
          <w:rFonts w:ascii="Arial" w:hAnsi="Arial" w:cs="Arial"/>
          <w:bCs/>
          <w:spacing w:val="-3"/>
          <w:sz w:val="22"/>
          <w:szCs w:val="22"/>
        </w:rPr>
      </w:pPr>
      <w:hyperlink r:id="rId8" w:history="1">
        <w:r w:rsidR="00974CEE" w:rsidRPr="00747FF1">
          <w:rPr>
            <w:rStyle w:val="Hyperlink"/>
            <w:rFonts w:ascii="Arial" w:hAnsi="Arial" w:cs="Arial"/>
            <w:bCs/>
            <w:spacing w:val="-3"/>
            <w:sz w:val="22"/>
            <w:szCs w:val="22"/>
          </w:rPr>
          <w:t xml:space="preserve">Education (Overseas </w:t>
        </w:r>
        <w:r w:rsidR="00DC259D" w:rsidRPr="00747FF1">
          <w:rPr>
            <w:rStyle w:val="Hyperlink"/>
            <w:rFonts w:ascii="Arial" w:hAnsi="Arial" w:cs="Arial"/>
            <w:bCs/>
            <w:spacing w:val="-3"/>
            <w:sz w:val="22"/>
            <w:szCs w:val="22"/>
          </w:rPr>
          <w:t>Students)</w:t>
        </w:r>
        <w:r w:rsidR="00EC41A5" w:rsidRPr="00747FF1">
          <w:rPr>
            <w:rStyle w:val="Hyperlink"/>
            <w:rFonts w:ascii="Arial" w:hAnsi="Arial" w:cs="Arial"/>
            <w:bCs/>
            <w:spacing w:val="-3"/>
            <w:sz w:val="22"/>
            <w:szCs w:val="22"/>
          </w:rPr>
          <w:t xml:space="preserve"> </w:t>
        </w:r>
        <w:r w:rsidR="003666F9" w:rsidRPr="00747FF1">
          <w:rPr>
            <w:rStyle w:val="Hyperlink"/>
            <w:rFonts w:ascii="Arial" w:hAnsi="Arial" w:cs="Arial"/>
            <w:bCs/>
            <w:spacing w:val="-3"/>
            <w:sz w:val="22"/>
            <w:szCs w:val="22"/>
          </w:rPr>
          <w:t xml:space="preserve">Bill </w:t>
        </w:r>
        <w:r w:rsidR="0005481E" w:rsidRPr="00747FF1">
          <w:rPr>
            <w:rStyle w:val="Hyperlink"/>
            <w:rFonts w:ascii="Arial" w:hAnsi="Arial" w:cs="Arial"/>
            <w:bCs/>
            <w:spacing w:val="-3"/>
            <w:sz w:val="22"/>
            <w:szCs w:val="22"/>
          </w:rPr>
          <w:t>201</w:t>
        </w:r>
        <w:r w:rsidR="00EC41A5" w:rsidRPr="00747FF1">
          <w:rPr>
            <w:rStyle w:val="Hyperlink"/>
            <w:rFonts w:ascii="Arial" w:hAnsi="Arial" w:cs="Arial"/>
            <w:bCs/>
            <w:spacing w:val="-3"/>
            <w:sz w:val="22"/>
            <w:szCs w:val="22"/>
          </w:rPr>
          <w:t>7</w:t>
        </w:r>
      </w:hyperlink>
    </w:p>
    <w:p w:rsidR="00E61984" w:rsidRPr="0009364B" w:rsidRDefault="00370A79" w:rsidP="002C500E">
      <w:pPr>
        <w:numPr>
          <w:ilvl w:val="0"/>
          <w:numId w:val="4"/>
        </w:numPr>
        <w:spacing w:before="120"/>
        <w:jc w:val="both"/>
        <w:rPr>
          <w:rFonts w:ascii="Arial" w:hAnsi="Arial" w:cs="Arial"/>
          <w:bCs/>
          <w:spacing w:val="-3"/>
          <w:sz w:val="22"/>
          <w:szCs w:val="22"/>
        </w:rPr>
      </w:pPr>
      <w:hyperlink r:id="rId9" w:history="1">
        <w:r w:rsidR="0009364B" w:rsidRPr="00747FF1">
          <w:rPr>
            <w:rStyle w:val="Hyperlink"/>
            <w:rFonts w:ascii="Arial" w:hAnsi="Arial" w:cs="Arial"/>
            <w:bCs/>
            <w:spacing w:val="-3"/>
            <w:sz w:val="22"/>
            <w:szCs w:val="22"/>
          </w:rPr>
          <w:t>Explanatory Notes</w:t>
        </w:r>
      </w:hyperlink>
    </w:p>
    <w:p w:rsidR="00E61984" w:rsidRPr="00D6589B" w:rsidRDefault="00E61984" w:rsidP="00D6589B"/>
    <w:sectPr w:rsidR="00E61984" w:rsidRPr="00D6589B" w:rsidSect="002C500E">
      <w:headerReference w:type="default" r:id="rId10"/>
      <w:footerReference w:type="default" r:id="rId11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1232" w:rsidRDefault="00301232" w:rsidP="00D6589B">
      <w:r>
        <w:separator/>
      </w:r>
    </w:p>
  </w:endnote>
  <w:endnote w:type="continuationSeparator" w:id="0">
    <w:p w:rsidR="00301232" w:rsidRDefault="00301232" w:rsidP="00D6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4C52" w:rsidRPr="002D22A5" w:rsidRDefault="005E4C52" w:rsidP="002D22A5">
    <w:pPr>
      <w:pStyle w:val="Footer"/>
      <w:jc w:val="center"/>
      <w:rPr>
        <w:rFonts w:ascii="Arial" w:hAnsi="Arial" w:cs="Arial"/>
        <w:sz w:val="18"/>
        <w:szCs w:val="18"/>
      </w:rPr>
    </w:pPr>
    <w:r w:rsidRPr="002D22A5">
      <w:rPr>
        <w:rFonts w:ascii="Arial" w:hAnsi="Arial" w:cs="Arial"/>
        <w:sz w:val="18"/>
        <w:szCs w:val="18"/>
      </w:rPr>
      <w:t>Page 1 of 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1232" w:rsidRDefault="00301232" w:rsidP="00D6589B">
      <w:r>
        <w:separator/>
      </w:r>
    </w:p>
  </w:footnote>
  <w:footnote w:type="continuationSeparator" w:id="0">
    <w:p w:rsidR="00301232" w:rsidRDefault="00301232" w:rsidP="00D658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4C52" w:rsidRPr="00937A4A" w:rsidRDefault="005E4C52" w:rsidP="00FC103E">
    <w:pPr>
      <w:pBdr>
        <w:top w:val="thinThickLargeGap" w:sz="24" w:space="4" w:color="auto"/>
        <w:left w:val="thinThickLargeGap" w:sz="24" w:space="0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color w:val="auto"/>
        <w:sz w:val="28"/>
        <w:szCs w:val="22"/>
        <w:lang w:eastAsia="en-US"/>
      </w:rPr>
    </w:pPr>
    <w:r w:rsidRPr="00937A4A">
      <w:rPr>
        <w:rFonts w:ascii="Arial" w:hAnsi="Arial" w:cs="Arial"/>
        <w:b/>
        <w:color w:val="auto"/>
        <w:sz w:val="28"/>
        <w:szCs w:val="22"/>
        <w:lang w:eastAsia="en-US"/>
      </w:rPr>
      <w:t>Queensland Government</w:t>
    </w:r>
  </w:p>
  <w:p w:rsidR="005E4C52" w:rsidRPr="00937A4A" w:rsidRDefault="005E4C52" w:rsidP="00FC103E">
    <w:pPr>
      <w:pBdr>
        <w:top w:val="thinThickLargeGap" w:sz="24" w:space="4" w:color="auto"/>
        <w:left w:val="thinThickLargeGap" w:sz="24" w:space="0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rFonts w:ascii="Arial" w:hAnsi="Arial" w:cs="Arial"/>
        <w:b/>
        <w:color w:val="auto"/>
        <w:sz w:val="14"/>
        <w:szCs w:val="22"/>
        <w:u w:val="single"/>
        <w:lang w:eastAsia="en-US"/>
      </w:rPr>
    </w:pPr>
  </w:p>
  <w:p w:rsidR="005E4C52" w:rsidRPr="00937A4A" w:rsidRDefault="005E4C52" w:rsidP="00FC103E">
    <w:pPr>
      <w:pBdr>
        <w:top w:val="thinThickLargeGap" w:sz="24" w:space="4" w:color="auto"/>
        <w:left w:val="thinThickLargeGap" w:sz="24" w:space="0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color w:val="auto"/>
        <w:sz w:val="22"/>
        <w:szCs w:val="22"/>
        <w:lang w:eastAsia="en-US"/>
      </w:rPr>
    </w:pPr>
    <w:r w:rsidRPr="00937A4A">
      <w:rPr>
        <w:rFonts w:ascii="Arial" w:hAnsi="Arial" w:cs="Arial"/>
        <w:b/>
        <w:color w:val="auto"/>
        <w:sz w:val="22"/>
        <w:szCs w:val="22"/>
        <w:lang w:eastAsia="en-US"/>
      </w:rPr>
      <w:t xml:space="preserve">Cabinet – </w:t>
    </w:r>
    <w:r w:rsidR="002C500E">
      <w:rPr>
        <w:rFonts w:ascii="Arial" w:hAnsi="Arial" w:cs="Arial"/>
        <w:b/>
        <w:color w:val="auto"/>
        <w:sz w:val="22"/>
        <w:szCs w:val="22"/>
        <w:lang w:eastAsia="en-US"/>
      </w:rPr>
      <w:t>July</w:t>
    </w:r>
    <w:r w:rsidR="00760947">
      <w:rPr>
        <w:rFonts w:ascii="Arial" w:hAnsi="Arial" w:cs="Arial"/>
        <w:b/>
        <w:color w:val="auto"/>
        <w:sz w:val="22"/>
        <w:szCs w:val="22"/>
        <w:lang w:eastAsia="en-US"/>
      </w:rPr>
      <w:t xml:space="preserve"> </w:t>
    </w:r>
    <w:r w:rsidR="00EC41A5">
      <w:rPr>
        <w:rFonts w:ascii="Arial" w:hAnsi="Arial" w:cs="Arial"/>
        <w:b/>
        <w:color w:val="auto"/>
        <w:sz w:val="22"/>
        <w:szCs w:val="22"/>
        <w:lang w:eastAsia="en-US"/>
      </w:rPr>
      <w:t>2017</w:t>
    </w:r>
  </w:p>
  <w:p w:rsidR="005E4C52" w:rsidRPr="0009364B" w:rsidRDefault="00974CEE" w:rsidP="0009364B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 xml:space="preserve">Education (Overseas Students) Bill 2017 </w:t>
    </w:r>
  </w:p>
  <w:p w:rsidR="005E4C52" w:rsidRDefault="0005481E" w:rsidP="00D6589B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 w:rsidRPr="0005481E">
      <w:rPr>
        <w:rFonts w:ascii="Arial" w:hAnsi="Arial" w:cs="Arial"/>
        <w:b/>
        <w:sz w:val="22"/>
        <w:szCs w:val="22"/>
        <w:u w:val="single"/>
      </w:rPr>
      <w:t>Minister for Education and Minister for Tourism</w:t>
    </w:r>
    <w:r w:rsidR="00BC353C">
      <w:rPr>
        <w:rFonts w:ascii="Arial" w:hAnsi="Arial" w:cs="Arial"/>
        <w:b/>
        <w:sz w:val="22"/>
        <w:szCs w:val="22"/>
        <w:u w:val="single"/>
      </w:rPr>
      <w:t xml:space="preserve">, </w:t>
    </w:r>
    <w:r w:rsidRPr="0005481E">
      <w:rPr>
        <w:rFonts w:ascii="Arial" w:hAnsi="Arial" w:cs="Arial"/>
        <w:b/>
        <w:sz w:val="22"/>
        <w:szCs w:val="22"/>
        <w:u w:val="single"/>
      </w:rPr>
      <w:t>Major Events</w:t>
    </w:r>
    <w:r w:rsidR="00BC353C">
      <w:rPr>
        <w:rFonts w:ascii="Arial" w:hAnsi="Arial" w:cs="Arial"/>
        <w:b/>
        <w:sz w:val="22"/>
        <w:szCs w:val="22"/>
        <w:u w:val="single"/>
      </w:rPr>
      <w:t xml:space="preserve"> and the Commonwealth Games</w:t>
    </w:r>
    <w:r w:rsidRPr="0005481E">
      <w:rPr>
        <w:rFonts w:ascii="Arial" w:hAnsi="Arial" w:cs="Arial"/>
        <w:b/>
        <w:sz w:val="22"/>
        <w:szCs w:val="22"/>
        <w:u w:val="single"/>
      </w:rPr>
      <w:t xml:space="preserve"> </w:t>
    </w:r>
  </w:p>
  <w:p w:rsidR="005E4C52" w:rsidRDefault="005E4C52" w:rsidP="00D6589B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068EB"/>
    <w:multiLevelType w:val="hybridMultilevel"/>
    <w:tmpl w:val="9886F4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D7618"/>
    <w:multiLevelType w:val="hybridMultilevel"/>
    <w:tmpl w:val="8E20EDFA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7A0238C">
      <w:start w:val="1"/>
      <w:numFmt w:val="bullet"/>
      <w:lvlText w:val=""/>
      <w:lvlJc w:val="left"/>
      <w:pPr>
        <w:tabs>
          <w:tab w:val="num" w:pos="1534"/>
        </w:tabs>
        <w:ind w:left="1534" w:hanging="454"/>
      </w:pPr>
      <w:rPr>
        <w:rFonts w:ascii="Symbol" w:hAnsi="Symbol" w:hint="default"/>
        <w:color w:val="auto"/>
        <w:sz w:val="23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8520D13"/>
    <w:multiLevelType w:val="hybridMultilevel"/>
    <w:tmpl w:val="99EA29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E05BCB"/>
    <w:multiLevelType w:val="hybridMultilevel"/>
    <w:tmpl w:val="40846752"/>
    <w:lvl w:ilvl="0" w:tplc="379606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3676156F"/>
    <w:multiLevelType w:val="hybridMultilevel"/>
    <w:tmpl w:val="0A5257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6966FE"/>
    <w:multiLevelType w:val="hybridMultilevel"/>
    <w:tmpl w:val="EC32D3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4C51DE"/>
    <w:multiLevelType w:val="hybridMultilevel"/>
    <w:tmpl w:val="E234A30C"/>
    <w:lvl w:ilvl="0" w:tplc="0C090001">
      <w:start w:val="1"/>
      <w:numFmt w:val="bullet"/>
      <w:lvlText w:val=""/>
      <w:lvlJc w:val="left"/>
      <w:pPr>
        <w:tabs>
          <w:tab w:val="num" w:pos="-70"/>
        </w:tabs>
        <w:ind w:left="-70" w:hanging="360"/>
      </w:pPr>
      <w:rPr>
        <w:rFonts w:ascii="Symbol" w:hAnsi="Symbol" w:hint="default"/>
        <w:b w:val="0"/>
        <w:i w:val="0"/>
      </w:rPr>
    </w:lvl>
    <w:lvl w:ilvl="1" w:tplc="B7A0238C">
      <w:start w:val="1"/>
      <w:numFmt w:val="bullet"/>
      <w:lvlText w:val=""/>
      <w:lvlJc w:val="left"/>
      <w:pPr>
        <w:tabs>
          <w:tab w:val="num" w:pos="-1949"/>
        </w:tabs>
        <w:ind w:left="-1949" w:hanging="454"/>
      </w:pPr>
      <w:rPr>
        <w:rFonts w:ascii="Symbol" w:hAnsi="Symbol" w:hint="default"/>
        <w:color w:val="auto"/>
        <w:sz w:val="23"/>
      </w:rPr>
    </w:lvl>
    <w:lvl w:ilvl="2" w:tplc="0C09001B">
      <w:start w:val="1"/>
      <w:numFmt w:val="lowerRoman"/>
      <w:lvlText w:val="%3."/>
      <w:lvlJc w:val="right"/>
      <w:pPr>
        <w:tabs>
          <w:tab w:val="num" w:pos="-1323"/>
        </w:tabs>
        <w:ind w:left="-1323" w:hanging="180"/>
      </w:pPr>
    </w:lvl>
    <w:lvl w:ilvl="3" w:tplc="0C09000F">
      <w:start w:val="1"/>
      <w:numFmt w:val="decimal"/>
      <w:lvlText w:val="%4."/>
      <w:lvlJc w:val="left"/>
      <w:pPr>
        <w:tabs>
          <w:tab w:val="num" w:pos="-603"/>
        </w:tabs>
        <w:ind w:left="-603" w:hanging="360"/>
      </w:pPr>
    </w:lvl>
    <w:lvl w:ilvl="4" w:tplc="0C090019">
      <w:start w:val="1"/>
      <w:numFmt w:val="lowerLetter"/>
      <w:lvlText w:val="%5."/>
      <w:lvlJc w:val="left"/>
      <w:pPr>
        <w:tabs>
          <w:tab w:val="num" w:pos="117"/>
        </w:tabs>
        <w:ind w:left="117" w:hanging="360"/>
      </w:pPr>
    </w:lvl>
    <w:lvl w:ilvl="5" w:tplc="0C09001B">
      <w:start w:val="1"/>
      <w:numFmt w:val="lowerRoman"/>
      <w:lvlText w:val="%6."/>
      <w:lvlJc w:val="right"/>
      <w:pPr>
        <w:tabs>
          <w:tab w:val="num" w:pos="837"/>
        </w:tabs>
        <w:ind w:left="837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1557"/>
        </w:tabs>
        <w:ind w:left="1557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2277"/>
        </w:tabs>
        <w:ind w:left="2277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2997"/>
        </w:tabs>
        <w:ind w:left="2997" w:hanging="180"/>
      </w:pPr>
    </w:lvl>
  </w:abstractNum>
  <w:abstractNum w:abstractNumId="7" w15:restartNumberingAfterBreak="0">
    <w:nsid w:val="6747650E"/>
    <w:multiLevelType w:val="hybridMultilevel"/>
    <w:tmpl w:val="3E7EFCB8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cs="Times New Roman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75BE4382"/>
    <w:multiLevelType w:val="hybridMultilevel"/>
    <w:tmpl w:val="EDCE973E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7A0238C">
      <w:start w:val="1"/>
      <w:numFmt w:val="bullet"/>
      <w:lvlText w:val=""/>
      <w:lvlJc w:val="left"/>
      <w:pPr>
        <w:tabs>
          <w:tab w:val="num" w:pos="1174"/>
        </w:tabs>
        <w:ind w:left="1174" w:hanging="454"/>
      </w:pPr>
      <w:rPr>
        <w:rFonts w:ascii="Symbol" w:hAnsi="Symbol" w:hint="default"/>
        <w:color w:val="auto"/>
        <w:sz w:val="23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7F176F87"/>
    <w:multiLevelType w:val="hybridMultilevel"/>
    <w:tmpl w:val="92DA202C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90001">
      <w:start w:val="1"/>
      <w:numFmt w:val="bullet"/>
      <w:lvlText w:val="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9"/>
  </w:num>
  <w:num w:numId="3">
    <w:abstractNumId w:val="3"/>
  </w:num>
  <w:num w:numId="4">
    <w:abstractNumId w:val="7"/>
  </w:num>
  <w:num w:numId="5">
    <w:abstractNumId w:val="0"/>
  </w:num>
  <w:num w:numId="6">
    <w:abstractNumId w:val="4"/>
  </w:num>
  <w:num w:numId="7">
    <w:abstractNumId w:val="5"/>
  </w:num>
  <w:num w:numId="8">
    <w:abstractNumId w:val="8"/>
  </w:num>
  <w:num w:numId="9">
    <w:abstractNumId w:val="2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embedSystemFonts/>
  <w:defaultTabStop w:val="720"/>
  <w:doNotHyphenateCaps/>
  <w:characterSpacingControl w:val="doNotCompress"/>
  <w:doNotValidateAgainstSchema/>
  <w:doNotDemarcateInvalidXml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89B"/>
    <w:rsid w:val="00020256"/>
    <w:rsid w:val="000430DD"/>
    <w:rsid w:val="0005481E"/>
    <w:rsid w:val="00080F8F"/>
    <w:rsid w:val="00087EB8"/>
    <w:rsid w:val="00091495"/>
    <w:rsid w:val="0009364B"/>
    <w:rsid w:val="00133FFC"/>
    <w:rsid w:val="00140936"/>
    <w:rsid w:val="0015308E"/>
    <w:rsid w:val="00171231"/>
    <w:rsid w:val="00174117"/>
    <w:rsid w:val="001D78AC"/>
    <w:rsid w:val="001E209B"/>
    <w:rsid w:val="0021344B"/>
    <w:rsid w:val="00243B65"/>
    <w:rsid w:val="00270F4F"/>
    <w:rsid w:val="002A1220"/>
    <w:rsid w:val="002A2194"/>
    <w:rsid w:val="002C500E"/>
    <w:rsid w:val="002D22A5"/>
    <w:rsid w:val="002F25DB"/>
    <w:rsid w:val="00301232"/>
    <w:rsid w:val="00316C88"/>
    <w:rsid w:val="00352905"/>
    <w:rsid w:val="003666F9"/>
    <w:rsid w:val="00370A79"/>
    <w:rsid w:val="003B5871"/>
    <w:rsid w:val="003C16AD"/>
    <w:rsid w:val="00412C51"/>
    <w:rsid w:val="004E3AE1"/>
    <w:rsid w:val="00501C66"/>
    <w:rsid w:val="00550873"/>
    <w:rsid w:val="005536BB"/>
    <w:rsid w:val="00582128"/>
    <w:rsid w:val="005949BE"/>
    <w:rsid w:val="005E4C52"/>
    <w:rsid w:val="006103E4"/>
    <w:rsid w:val="006255A7"/>
    <w:rsid w:val="00671DA9"/>
    <w:rsid w:val="006E7E51"/>
    <w:rsid w:val="00730682"/>
    <w:rsid w:val="00732E22"/>
    <w:rsid w:val="00747FF1"/>
    <w:rsid w:val="00752636"/>
    <w:rsid w:val="00760947"/>
    <w:rsid w:val="00802792"/>
    <w:rsid w:val="008552FA"/>
    <w:rsid w:val="008607F7"/>
    <w:rsid w:val="008A4523"/>
    <w:rsid w:val="008A5C19"/>
    <w:rsid w:val="008B61F0"/>
    <w:rsid w:val="008F44CD"/>
    <w:rsid w:val="00900039"/>
    <w:rsid w:val="00914E29"/>
    <w:rsid w:val="0092336D"/>
    <w:rsid w:val="00923AA6"/>
    <w:rsid w:val="0096227C"/>
    <w:rsid w:val="0097144D"/>
    <w:rsid w:val="00974CEE"/>
    <w:rsid w:val="00975968"/>
    <w:rsid w:val="00985C38"/>
    <w:rsid w:val="009F4405"/>
    <w:rsid w:val="00A01C97"/>
    <w:rsid w:val="00A42DF4"/>
    <w:rsid w:val="00A527A5"/>
    <w:rsid w:val="00AC6498"/>
    <w:rsid w:val="00AD50EF"/>
    <w:rsid w:val="00AF4106"/>
    <w:rsid w:val="00B341D1"/>
    <w:rsid w:val="00B404EF"/>
    <w:rsid w:val="00B54256"/>
    <w:rsid w:val="00B572D3"/>
    <w:rsid w:val="00B90C92"/>
    <w:rsid w:val="00BA27D3"/>
    <w:rsid w:val="00BC353C"/>
    <w:rsid w:val="00BF42B4"/>
    <w:rsid w:val="00C07656"/>
    <w:rsid w:val="00C43806"/>
    <w:rsid w:val="00C47576"/>
    <w:rsid w:val="00C75E67"/>
    <w:rsid w:val="00CB1501"/>
    <w:rsid w:val="00CB600B"/>
    <w:rsid w:val="00CE6FBA"/>
    <w:rsid w:val="00CF0D8A"/>
    <w:rsid w:val="00D1725E"/>
    <w:rsid w:val="00D63F6E"/>
    <w:rsid w:val="00D6589B"/>
    <w:rsid w:val="00D75134"/>
    <w:rsid w:val="00DB6FE7"/>
    <w:rsid w:val="00DC259D"/>
    <w:rsid w:val="00DE61EC"/>
    <w:rsid w:val="00DF40E0"/>
    <w:rsid w:val="00E53A8E"/>
    <w:rsid w:val="00E61984"/>
    <w:rsid w:val="00EA0CCF"/>
    <w:rsid w:val="00EC41A5"/>
    <w:rsid w:val="00F04135"/>
    <w:rsid w:val="00F10DF9"/>
    <w:rsid w:val="00F32E45"/>
    <w:rsid w:val="00F6728C"/>
    <w:rsid w:val="00FC1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A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589B"/>
    <w:rPr>
      <w:rFonts w:ascii="Times New Roman" w:eastAsia="Times New Roman" w:hAnsi="Times New Roman"/>
      <w:color w:val="000000"/>
      <w:sz w:val="24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6589B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6589B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D65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6589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9364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63F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3F6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3F6E"/>
    <w:rPr>
      <w:rFonts w:ascii="Times New Roman" w:eastAsia="Times New Roman" w:hAnsi="Times New Roman"/>
      <w:color w:val="000000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3F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3F6E"/>
    <w:rPr>
      <w:rFonts w:ascii="Times New Roman" w:eastAsia="Times New Roman" w:hAnsi="Times New Roman"/>
      <w:b/>
      <w:bCs/>
      <w:color w:val="000000"/>
      <w:sz w:val="20"/>
      <w:szCs w:val="20"/>
      <w:lang w:eastAsia="en-AU"/>
    </w:rPr>
  </w:style>
  <w:style w:type="character" w:styleId="Hyperlink">
    <w:name w:val="Hyperlink"/>
    <w:basedOn w:val="DefaultParagraphFont"/>
    <w:uiPriority w:val="99"/>
    <w:unhideWhenUsed/>
    <w:rsid w:val="00747FF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ttachments/Bill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Attachments/ExNote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D567BD-F919-4832-A083-6252DC135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941</Characters>
  <Application>Microsoft Office Word</Application>
  <DocSecurity>0</DocSecurity>
  <Lines>19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1093</CharactersWithSpaces>
  <SharedDoc>false</SharedDoc>
  <HyperlinkBase>https://www.cabinet.qld.gov.au/documents/2017/Jul/EdOS Bill/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2018-01-30T01:34:00Z</dcterms:created>
  <dcterms:modified xsi:type="dcterms:W3CDTF">2018-03-06T01:48:00Z</dcterms:modified>
  <cp:category>Education,Legislation,Child_Protection</cp:category>
</cp:coreProperties>
</file>